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6F7F" w14:textId="3FE78108" w:rsidR="002A3A2D" w:rsidRDefault="00F729CC" w:rsidP="002A3A2D">
      <w:pPr>
        <w:pStyle w:val="Overskrift1"/>
      </w:pPr>
      <w:r>
        <w:t>Consultation submissions</w:t>
      </w:r>
      <w:r w:rsidR="002A3A2D">
        <w:t xml:space="preserve"> as part of the preventive work</w:t>
      </w:r>
    </w:p>
    <w:p w14:paraId="00C24EC1" w14:textId="58163833" w:rsidR="002A3A2D" w:rsidRDefault="00C84AD5" w:rsidP="002A3A2D">
      <w:pPr>
        <w:rPr>
          <w:b/>
        </w:rPr>
      </w:pPr>
      <w:r>
        <w:rPr>
          <w:b/>
        </w:rPr>
        <w:t>L</w:t>
      </w:r>
      <w:r w:rsidR="002A3A2D">
        <w:rPr>
          <w:b/>
        </w:rPr>
        <w:t xml:space="preserve">egislation in </w:t>
      </w:r>
      <w:r>
        <w:rPr>
          <w:b/>
        </w:rPr>
        <w:t>accordance</w:t>
      </w:r>
      <w:r w:rsidR="002A3A2D">
        <w:rPr>
          <w:b/>
        </w:rPr>
        <w:t xml:space="preserve"> with human rights</w:t>
      </w:r>
      <w:r>
        <w:rPr>
          <w:b/>
        </w:rPr>
        <w:t xml:space="preserve"> standards</w:t>
      </w:r>
      <w:r w:rsidR="002A3A2D">
        <w:rPr>
          <w:b/>
        </w:rPr>
        <w:t xml:space="preserve"> is a pre-condition for preventing torture and inhuman treatment of people deprived of their liberty. This year, we have made </w:t>
      </w:r>
      <w:r w:rsidR="00F729CC">
        <w:rPr>
          <w:b/>
        </w:rPr>
        <w:t>several</w:t>
      </w:r>
      <w:r w:rsidR="002A3A2D">
        <w:rPr>
          <w:b/>
        </w:rPr>
        <w:t xml:space="preserve"> consultation </w:t>
      </w:r>
      <w:r w:rsidR="00DD2506">
        <w:rPr>
          <w:b/>
        </w:rPr>
        <w:t>s</w:t>
      </w:r>
      <w:r w:rsidR="002A3A2D">
        <w:rPr>
          <w:b/>
        </w:rPr>
        <w:t>ubmissions on draft legislation</w:t>
      </w:r>
      <w:r>
        <w:rPr>
          <w:b/>
        </w:rPr>
        <w:t xml:space="preserve"> proposals</w:t>
      </w:r>
      <w:r w:rsidR="002A3A2D">
        <w:rPr>
          <w:b/>
        </w:rPr>
        <w:t xml:space="preserve"> and other guidelines from central government authorities, which affect the conditions for people who have been deprived of their liberty and </w:t>
      </w:r>
      <w:r>
        <w:rPr>
          <w:b/>
        </w:rPr>
        <w:t xml:space="preserve">who are </w:t>
      </w:r>
      <w:r w:rsidR="002A3A2D">
        <w:rPr>
          <w:b/>
        </w:rPr>
        <w:t>subjected to force.</w:t>
      </w:r>
    </w:p>
    <w:p w14:paraId="39540001" w14:textId="3B516326" w:rsidR="002A3A2D" w:rsidRDefault="002A3A2D" w:rsidP="002A3A2D">
      <w:r w:rsidRPr="00C84AD5">
        <w:t>Consultation</w:t>
      </w:r>
      <w:r>
        <w:t xml:space="preserve"> submissions are an important measure to ensure adequate legislative processes and strong legal safeguards for people who have been deprived of their liberty. Our consultation submissions are based on findings and experiences from the visits we have </w:t>
      </w:r>
      <w:r w:rsidR="00365D82">
        <w:t>conducted</w:t>
      </w:r>
      <w:r>
        <w:t xml:space="preserve"> under the national prevention mandate to date. In 2019, we </w:t>
      </w:r>
      <w:r w:rsidR="00365D82">
        <w:t xml:space="preserve">submitted </w:t>
      </w:r>
      <w:r>
        <w:t xml:space="preserve">four </w:t>
      </w:r>
      <w:r w:rsidR="00F729CC">
        <w:t>consultations covering</w:t>
      </w:r>
      <w:r>
        <w:t xml:space="preserve"> several sectors under the </w:t>
      </w:r>
      <w:r w:rsidR="00365D82">
        <w:t xml:space="preserve">NPM </w:t>
      </w:r>
      <w:r>
        <w:t xml:space="preserve">mandate. </w:t>
      </w:r>
    </w:p>
    <w:p w14:paraId="6691018D" w14:textId="77777777" w:rsidR="002A3A2D" w:rsidRDefault="002A3A2D" w:rsidP="002A3A2D">
      <w:pPr>
        <w:pStyle w:val="Overskrift2"/>
      </w:pPr>
      <w:r>
        <w:t>Inadequate evaluation of rules on the use of force in child welfare institutions</w:t>
      </w:r>
    </w:p>
    <w:p w14:paraId="63F565B2" w14:textId="59DC5D4D" w:rsidR="002A3A2D" w:rsidRDefault="002A3A2D" w:rsidP="002A3A2D">
      <w:r>
        <w:t xml:space="preserve">The Parliamentary Ombudsman made a consultation submission in July on the then Ministry of Children and Equality's draft of a new </w:t>
      </w:r>
      <w:r w:rsidR="00396E68">
        <w:t>Child Welfare Act</w:t>
      </w:r>
      <w:r>
        <w:t>.</w:t>
      </w:r>
      <w:r>
        <w:rPr>
          <w:rStyle w:val="Fotnotereferanse"/>
        </w:rPr>
        <w:footnoteReference w:id="1"/>
      </w:r>
      <w:r>
        <w:t xml:space="preserve"> Our comments concerned the proposal to </w:t>
      </w:r>
      <w:r w:rsidR="00FC2A2D">
        <w:t xml:space="preserve">create further </w:t>
      </w:r>
      <w:r w:rsidR="00F729CC">
        <w:t>legislation for</w:t>
      </w:r>
      <w:r>
        <w:t xml:space="preserve"> child welfare institutions. </w:t>
      </w:r>
    </w:p>
    <w:p w14:paraId="584B57F2" w14:textId="02F87052" w:rsidR="002A3A2D" w:rsidRDefault="002A3A2D" w:rsidP="002A3A2D">
      <w:r>
        <w:t>We pointed out that it was generally positive that</w:t>
      </w:r>
      <w:r w:rsidR="00FC2A2D">
        <w:t xml:space="preserve"> the draft legislation proposal clarified the rights children and youth have </w:t>
      </w:r>
      <w:r>
        <w:t>during stays in institutions</w:t>
      </w:r>
      <w:r w:rsidR="00FC2A2D">
        <w:t>.</w:t>
      </w:r>
      <w:r>
        <w:t xml:space="preserve"> However, we called for a more detailed assessment of the proposals on children’s rights and the use of force </w:t>
      </w:r>
      <w:proofErr w:type="gramStart"/>
      <w:r>
        <w:t>in light of</w:t>
      </w:r>
      <w:proofErr w:type="gramEnd"/>
      <w:r>
        <w:t xml:space="preserve"> Norway's human rights obligations. We recommended that the </w:t>
      </w:r>
      <w:r w:rsidR="002A59BB">
        <w:t>M</w:t>
      </w:r>
      <w:r>
        <w:t>inistry undertake a new assessment of the current regulation regarding rights and the use of force in child welfare institutions. The assessment should be based on Norway’s human rights obligations, with reference to international legal developments.</w:t>
      </w:r>
      <w:r w:rsidR="0054690A">
        <w:t xml:space="preserve"> </w:t>
      </w:r>
      <w:r>
        <w:t>It should also be assessed whether the existing regulations are practised as intended.</w:t>
      </w:r>
    </w:p>
    <w:p w14:paraId="5D79C989" w14:textId="26FFC54E" w:rsidR="002A3A2D" w:rsidRDefault="002A3A2D" w:rsidP="002A3A2D">
      <w:r>
        <w:t xml:space="preserve">We also pointed out that the current rules on the use of force are not always complied with in practice, which indicated a need </w:t>
      </w:r>
      <w:r w:rsidR="00396E68">
        <w:t xml:space="preserve">for clarification </w:t>
      </w:r>
      <w:r w:rsidR="002A59BB">
        <w:t>of the legislation.</w:t>
      </w:r>
      <w:r>
        <w:t xml:space="preserve"> Findings from our visits indicate</w:t>
      </w:r>
      <w:r w:rsidR="002A59BB">
        <w:t xml:space="preserve"> issues, such as </w:t>
      </w:r>
      <w:r>
        <w:t>that lack of compliance may be due to mis</w:t>
      </w:r>
      <w:r w:rsidR="002A59BB">
        <w:t>interpretations</w:t>
      </w:r>
      <w:r>
        <w:t xml:space="preserve"> of the regulations. </w:t>
      </w:r>
    </w:p>
    <w:p w14:paraId="243578D1" w14:textId="2B3DB015" w:rsidR="002A3A2D" w:rsidRDefault="002A3A2D" w:rsidP="002A3A2D">
      <w:r>
        <w:t xml:space="preserve">In addition, we also commented on the specific proposals that the </w:t>
      </w:r>
      <w:r w:rsidR="002A59BB">
        <w:t>M</w:t>
      </w:r>
      <w:r>
        <w:t xml:space="preserve">inistry was asked to assess in its further work on the draft </w:t>
      </w:r>
      <w:r w:rsidR="002A59BB">
        <w:t>legislation proposal</w:t>
      </w:r>
      <w:r>
        <w:t>. For instance, the Parliamentary Ombudsman emphasised the following problematic elements</w:t>
      </w:r>
      <w:r w:rsidR="00396E68">
        <w:t xml:space="preserve"> in the </w:t>
      </w:r>
      <w:r w:rsidR="002A59BB">
        <w:t>proposal</w:t>
      </w:r>
      <w:r>
        <w:t>:</w:t>
      </w:r>
    </w:p>
    <w:p w14:paraId="3268C0EB" w14:textId="1DE86E9D" w:rsidR="002A3A2D" w:rsidRDefault="002A3A2D" w:rsidP="002A3A2D">
      <w:pPr>
        <w:pStyle w:val="Listeavsnitt"/>
        <w:numPr>
          <w:ilvl w:val="0"/>
          <w:numId w:val="2"/>
        </w:numPr>
      </w:pPr>
      <w:r>
        <w:t xml:space="preserve">the </w:t>
      </w:r>
      <w:r w:rsidR="00396E68">
        <w:t xml:space="preserve">existing </w:t>
      </w:r>
      <w:r>
        <w:t xml:space="preserve">provision on the prohibition against solitary confinement </w:t>
      </w:r>
      <w:r w:rsidR="00DD2506">
        <w:t xml:space="preserve">used </w:t>
      </w:r>
      <w:r>
        <w:t>as punishment, treatment or as a corrective measure is to be removed</w:t>
      </w:r>
    </w:p>
    <w:p w14:paraId="77BDCCC9" w14:textId="681BE1C4" w:rsidR="002A3A2D" w:rsidRDefault="002A3A2D" w:rsidP="002A3A2D">
      <w:pPr>
        <w:pStyle w:val="Listeavsnitt"/>
        <w:numPr>
          <w:ilvl w:val="0"/>
          <w:numId w:val="2"/>
        </w:numPr>
      </w:pPr>
      <w:r>
        <w:t xml:space="preserve">the prohibition against force </w:t>
      </w:r>
      <w:r w:rsidR="00DD2506">
        <w:t xml:space="preserve">used </w:t>
      </w:r>
      <w:r>
        <w:t xml:space="preserve">as punishment, treatment </w:t>
      </w:r>
      <w:r w:rsidR="00DD2506">
        <w:t>or</w:t>
      </w:r>
      <w:r>
        <w:t xml:space="preserve"> as a corrective measure is to be limited to ‘physical’ force, even if improper psychological pressure and threats can </w:t>
      </w:r>
      <w:r w:rsidR="00EA0F39">
        <w:t>cause</w:t>
      </w:r>
      <w:r w:rsidR="00EA0F39" w:rsidDel="00396E68">
        <w:t xml:space="preserve"> </w:t>
      </w:r>
      <w:r w:rsidR="00396E68">
        <w:t>equally serious</w:t>
      </w:r>
      <w:r>
        <w:t xml:space="preserve"> harm</w:t>
      </w:r>
      <w:r w:rsidR="0054690A">
        <w:t xml:space="preserve"> </w:t>
      </w:r>
    </w:p>
    <w:p w14:paraId="47663DEB" w14:textId="3B8C45F2" w:rsidR="002A3A2D" w:rsidRDefault="002A3A2D" w:rsidP="002A3A2D">
      <w:pPr>
        <w:pStyle w:val="Listeavsnitt"/>
        <w:numPr>
          <w:ilvl w:val="0"/>
          <w:numId w:val="2"/>
        </w:numPr>
      </w:pPr>
      <w:r>
        <w:t xml:space="preserve">the regulations on the use of force in situations of acute danger </w:t>
      </w:r>
      <w:r w:rsidR="00396E68">
        <w:t>refer</w:t>
      </w:r>
      <w:r>
        <w:t xml:space="preserve"> to </w:t>
      </w:r>
      <w:r w:rsidR="00396E68">
        <w:t xml:space="preserve">ambiguous </w:t>
      </w:r>
      <w:r>
        <w:t xml:space="preserve">rules </w:t>
      </w:r>
      <w:r w:rsidR="00DD2506">
        <w:t xml:space="preserve">based </w:t>
      </w:r>
      <w:r>
        <w:t>on the principle of necessity</w:t>
      </w:r>
      <w:r w:rsidR="00110905">
        <w:t xml:space="preserve"> that is not included in </w:t>
      </w:r>
      <w:r>
        <w:t>the child welfare legislation</w:t>
      </w:r>
    </w:p>
    <w:p w14:paraId="386246CD" w14:textId="524A7056" w:rsidR="002A3A2D" w:rsidRDefault="00396E68" w:rsidP="002A3A2D">
      <w:pPr>
        <w:pStyle w:val="Listeavsnitt"/>
        <w:numPr>
          <w:ilvl w:val="0"/>
          <w:numId w:val="2"/>
        </w:numPr>
      </w:pPr>
      <w:r>
        <w:t xml:space="preserve">the draft </w:t>
      </w:r>
      <w:r w:rsidR="00DD2506">
        <w:t>legislation proposal</w:t>
      </w:r>
      <w:r>
        <w:t xml:space="preserve"> contains</w:t>
      </w:r>
      <w:r w:rsidR="002A3A2D">
        <w:t xml:space="preserve"> no minimum requirement for the use of solitary confinement in situations of acute danger </w:t>
      </w:r>
    </w:p>
    <w:p w14:paraId="2D42E590" w14:textId="77777777" w:rsidR="002A3A2D" w:rsidRDefault="002A3A2D" w:rsidP="002A3A2D">
      <w:pPr>
        <w:pStyle w:val="Listeavsnitt"/>
        <w:numPr>
          <w:ilvl w:val="0"/>
          <w:numId w:val="2"/>
        </w:numPr>
      </w:pPr>
      <w:r>
        <w:t>the legal limits for restricting children’s freedom of movement inside and outside an institution are not clearly defined, including what constitutes illegal solitary confinement</w:t>
      </w:r>
    </w:p>
    <w:p w14:paraId="7A6D9CE7" w14:textId="77777777" w:rsidR="002A3A2D" w:rsidRDefault="002A3A2D" w:rsidP="002A3A2D">
      <w:pPr>
        <w:pStyle w:val="Overskrift2"/>
      </w:pPr>
      <w:r>
        <w:lastRenderedPageBreak/>
        <w:t>Important guidelines for detainees in need of medical help</w:t>
      </w:r>
    </w:p>
    <w:p w14:paraId="5A2930B8" w14:textId="77777777" w:rsidR="002A3A2D" w:rsidRDefault="002A3A2D" w:rsidP="002A3A2D">
      <w:r>
        <w:t>In September, we made a consultation submission on the Directorate of Health's proposal for national guidelines for medical personnel relating to health services for detainees in police custody.</w:t>
      </w:r>
      <w:r>
        <w:rPr>
          <w:rStyle w:val="Fotnotereferanse"/>
        </w:rPr>
        <w:footnoteReference w:id="2"/>
      </w:r>
      <w:r>
        <w:t xml:space="preserve"> </w:t>
      </w:r>
    </w:p>
    <w:p w14:paraId="793EE4C6" w14:textId="385B0E69" w:rsidR="002A3A2D" w:rsidRDefault="002A3A2D" w:rsidP="002A3A2D">
      <w:r>
        <w:t xml:space="preserve">Several of the recommendations made by the </w:t>
      </w:r>
      <w:r w:rsidR="00A757C9">
        <w:t>National Preventive Mechanism (NPM)</w:t>
      </w:r>
      <w:r>
        <w:t xml:space="preserve"> after visits to police custody facilities, are reflected in the draft guidelines. The draft</w:t>
      </w:r>
      <w:r w:rsidR="00DD2506">
        <w:t xml:space="preserve"> emphasizes</w:t>
      </w:r>
      <w:r>
        <w:t xml:space="preserve"> that doctors must not be involved in decisions </w:t>
      </w:r>
      <w:r w:rsidR="00DD2506">
        <w:t>concerning placing a person</w:t>
      </w:r>
      <w:r>
        <w:t xml:space="preserve"> in custody.</w:t>
      </w:r>
      <w:r w:rsidR="0054690A">
        <w:t xml:space="preserve"> </w:t>
      </w:r>
      <w:r w:rsidR="00A757C9">
        <w:t xml:space="preserve">The submission also proposes </w:t>
      </w:r>
      <w:r>
        <w:t>measure</w:t>
      </w:r>
      <w:r w:rsidR="00A757C9">
        <w:t>s</w:t>
      </w:r>
      <w:r>
        <w:t xml:space="preserve"> </w:t>
      </w:r>
      <w:r w:rsidR="00A757C9">
        <w:t xml:space="preserve">to ensure </w:t>
      </w:r>
      <w:r>
        <w:t xml:space="preserve">that the duty of confidentiality is maintained when medical assistance is given to detainees, by ensuring that police personnel who escort the detainee are not present during examinations and treatment situations, for instance </w:t>
      </w:r>
      <w:r w:rsidR="00A757C9">
        <w:t>in the</w:t>
      </w:r>
      <w:r>
        <w:t xml:space="preserve"> accident and emergency unit.</w:t>
      </w:r>
    </w:p>
    <w:p w14:paraId="7CDB6947" w14:textId="5E73C049" w:rsidR="002A3A2D" w:rsidRDefault="002A3A2D" w:rsidP="002A3A2D">
      <w:r>
        <w:t xml:space="preserve">The Parliamentary Ombudsman </w:t>
      </w:r>
      <w:r w:rsidR="00357CC8">
        <w:t>emphasised</w:t>
      </w:r>
      <w:r w:rsidR="006436E5">
        <w:t xml:space="preserve"> how</w:t>
      </w:r>
      <w:r>
        <w:t xml:space="preserve"> the proposal lacks national procedures for documentation and reporting cases of suspicion of disproportionate use of force or injury to the detainee caused by the police. One of the recurring findings from the</w:t>
      </w:r>
      <w:r w:rsidR="006436E5">
        <w:t xml:space="preserve"> </w:t>
      </w:r>
      <w:r w:rsidR="00805120">
        <w:t>NPM’</w:t>
      </w:r>
      <w:r>
        <w:t>s visits to places of detention, including police custody facilities, is that there is a lack of procedures in place for what medical personnel should do in cases of suspicion of disproportionate use of force or injuries caused by the police. Several of the</w:t>
      </w:r>
      <w:r w:rsidR="0054690A">
        <w:t xml:space="preserve"> </w:t>
      </w:r>
      <w:r>
        <w:t>accident and emergency units visited lacked a system to ensure that injuries to detainees were adequately documented in patient records, including photographic documentation. None of the accident and emergency units visited had any procedures in place for situations where it was suspected that injuries to a detainee was caused by the police.</w:t>
      </w:r>
    </w:p>
    <w:p w14:paraId="0862B19F" w14:textId="19A4A63C" w:rsidR="002A3A2D" w:rsidRDefault="002A3A2D" w:rsidP="002A3A2D">
      <w:r>
        <w:t xml:space="preserve">In the consultation submission, we emphasised that documentation and reporting of injuries inflicted on persons deprived of their liberty are important legal protections and can reduce the risk of torture and inhuman treatment. We referred to the European Committee for the Prevention of Torture and Inhuman or Degrading Treatment or Punishment (CPT), which recommends that thorough health examinations are carried out with documentation of suspicious injuries, and that such injuries are quickly reported </w:t>
      </w:r>
      <w:proofErr w:type="gramStart"/>
      <w:r>
        <w:t>in order to</w:t>
      </w:r>
      <w:proofErr w:type="gramEnd"/>
      <w:r>
        <w:t xml:space="preserve"> protect the detainees and ensure that an investigation is launched. Such procedures are lacking in Norway. </w:t>
      </w:r>
    </w:p>
    <w:p w14:paraId="4D44D8BC" w14:textId="77777777" w:rsidR="002A3A2D" w:rsidRDefault="002A3A2D" w:rsidP="002A3A2D">
      <w:r>
        <w:t xml:space="preserve">We also asked that medical personnel be given more information regarding the harmful effects of solitary confinement and how the health of persons in solitary confinement should be followed up. </w:t>
      </w:r>
    </w:p>
    <w:p w14:paraId="653B7212" w14:textId="77777777" w:rsidR="002A3A2D" w:rsidRDefault="002A3A2D" w:rsidP="002A3A2D">
      <w:pPr>
        <w:pStyle w:val="Overskrift2"/>
      </w:pPr>
      <w:r>
        <w:t>Critical to the proposal to use spit hoods in prisons</w:t>
      </w:r>
    </w:p>
    <w:p w14:paraId="34940B36" w14:textId="4A223401" w:rsidR="002A3A2D" w:rsidRDefault="002A3A2D" w:rsidP="002A3A2D">
      <w:r>
        <w:t>In September, we made a consultation submission regarding the Ministry of Justice and Public Security's proposal to amend the Execution of Sentences Act’s rules on coercive measures.</w:t>
      </w:r>
      <w:r>
        <w:rPr>
          <w:rStyle w:val="Fotnotereferanse"/>
        </w:rPr>
        <w:footnoteReference w:id="3"/>
      </w:r>
      <w:r w:rsidR="0054690A">
        <w:t xml:space="preserve"> </w:t>
      </w:r>
      <w:r>
        <w:t xml:space="preserve">One of the proposals involved introducing the use of spit hoods </w:t>
      </w:r>
      <w:r w:rsidR="0000562C">
        <w:t xml:space="preserve">to the list </w:t>
      </w:r>
      <w:r w:rsidR="00025456">
        <w:t>of</w:t>
      </w:r>
      <w:r w:rsidR="00B06F83">
        <w:t xml:space="preserve"> a </w:t>
      </w:r>
      <w:r>
        <w:t>legal coercive measure</w:t>
      </w:r>
      <w:r w:rsidR="00025456">
        <w:t>s</w:t>
      </w:r>
      <w:r w:rsidR="00B06F83">
        <w:t xml:space="preserve">. Another proposal involved </w:t>
      </w:r>
      <w:r>
        <w:t>lowering the threshold for using coercive measures such as handcuffs and body cuff</w:t>
      </w:r>
      <w:r w:rsidR="0000562C">
        <w:t>s</w:t>
      </w:r>
      <w:r>
        <w:t xml:space="preserve">. </w:t>
      </w:r>
    </w:p>
    <w:p w14:paraId="2E7ED4F5" w14:textId="5787DCB0" w:rsidR="002A3A2D" w:rsidRDefault="002A3A2D" w:rsidP="002A3A2D">
      <w:r>
        <w:t>A spit hood is a transparent hood that is pulled down over the head of the detainee, which covers the lower part of the face and prevents the person from spitting</w:t>
      </w:r>
      <w:r w:rsidR="00B06F83">
        <w:t>. I</w:t>
      </w:r>
      <w:r>
        <w:t xml:space="preserve">n our consultation submission </w:t>
      </w:r>
      <w:r w:rsidR="00B06F83">
        <w:t xml:space="preserve">we noted </w:t>
      </w:r>
      <w:r>
        <w:t xml:space="preserve">that the </w:t>
      </w:r>
      <w:r w:rsidR="00B06F83">
        <w:t>M</w:t>
      </w:r>
      <w:r>
        <w:t xml:space="preserve">inistry had failed to </w:t>
      </w:r>
      <w:r w:rsidR="00B06F83">
        <w:t>consider</w:t>
      </w:r>
      <w:r>
        <w:t xml:space="preserve"> that the use of spit hood</w:t>
      </w:r>
      <w:r w:rsidR="00B06F83">
        <w:t>s</w:t>
      </w:r>
      <w:r>
        <w:t xml:space="preserve"> also entails the </w:t>
      </w:r>
      <w:r w:rsidR="00B06F83">
        <w:t xml:space="preserve">use of other restraints, such as hand cuffs or body cuffs, to prevent the </w:t>
      </w:r>
      <w:r>
        <w:t xml:space="preserve">detainee </w:t>
      </w:r>
      <w:r w:rsidR="00B06F83">
        <w:t>from removing the spit hood.</w:t>
      </w:r>
    </w:p>
    <w:p w14:paraId="52BC99A3" w14:textId="0F83FDE6" w:rsidR="002A3A2D" w:rsidRDefault="002A3A2D" w:rsidP="002A3A2D">
      <w:r>
        <w:lastRenderedPageBreak/>
        <w:t xml:space="preserve">According to the </w:t>
      </w:r>
      <w:r w:rsidR="00B06F83">
        <w:t>M</w:t>
      </w:r>
      <w:r>
        <w:t>inistry, the ba</w:t>
      </w:r>
      <w:r w:rsidR="00B06F83">
        <w:t>sis</w:t>
      </w:r>
      <w:r>
        <w:t xml:space="preserve"> for the proposal was the increasing problem of detainees spitting. </w:t>
      </w:r>
      <w:r w:rsidR="00B06F83">
        <w:t>However, n</w:t>
      </w:r>
      <w:r>
        <w:t xml:space="preserve">o information was presented that demonstrated that this was a growing </w:t>
      </w:r>
      <w:r w:rsidR="00B06F83">
        <w:t>trend</w:t>
      </w:r>
      <w:r>
        <w:t xml:space="preserve">. The </w:t>
      </w:r>
      <w:r w:rsidR="00B06F83">
        <w:t>M</w:t>
      </w:r>
      <w:r>
        <w:t xml:space="preserve">inistry stated that spitting can entail a risk of </w:t>
      </w:r>
      <w:r w:rsidR="00B06F83">
        <w:t>infection</w:t>
      </w:r>
      <w:r>
        <w:t xml:space="preserve">, without outlining the type of </w:t>
      </w:r>
      <w:r w:rsidR="00B06F83">
        <w:t>infection</w:t>
      </w:r>
      <w:r>
        <w:t xml:space="preserve"> referred to, </w:t>
      </w:r>
      <w:r w:rsidR="00B06F83">
        <w:t>or</w:t>
      </w:r>
      <w:r>
        <w:t xml:space="preserve"> how great the risk is.</w:t>
      </w:r>
      <w:r w:rsidR="0054690A">
        <w:t xml:space="preserve"> </w:t>
      </w:r>
    </w:p>
    <w:p w14:paraId="285EEBDE" w14:textId="36C7E65C" w:rsidR="002A3A2D" w:rsidRDefault="002A3A2D" w:rsidP="002A3A2D">
      <w:r>
        <w:t xml:space="preserve">The </w:t>
      </w:r>
      <w:r w:rsidR="00B06F83">
        <w:t>M</w:t>
      </w:r>
      <w:r>
        <w:t xml:space="preserve">inistry suggested that the spit hood could be used on inmates </w:t>
      </w:r>
      <w:r w:rsidR="00085C69">
        <w:t xml:space="preserve">placed in common areas while socializing </w:t>
      </w:r>
      <w:r>
        <w:t xml:space="preserve">with others, as a measure to prevent solitary confinement. The Parliamentary Ombudsman pointed out that it is unlikely that more meaningful human contact can take place by wearing a spit hood </w:t>
      </w:r>
      <w:r w:rsidR="00085C69">
        <w:t xml:space="preserve">in addition to </w:t>
      </w:r>
      <w:r>
        <w:t>mechanical restraints such as handcuffs or body</w:t>
      </w:r>
      <w:r w:rsidR="00025456">
        <w:t xml:space="preserve"> </w:t>
      </w:r>
      <w:r>
        <w:t xml:space="preserve">cuffs </w:t>
      </w:r>
      <w:r w:rsidR="00085C69">
        <w:t>while</w:t>
      </w:r>
      <w:r>
        <w:t xml:space="preserve"> interaction with other inmates. This can have a humiliating and dehumanising effect on the inmates and constitutes a clear risk of inhuman and degrading treatment. </w:t>
      </w:r>
    </w:p>
    <w:p w14:paraId="5C8B5B78" w14:textId="2DDD17F0" w:rsidR="002A3A2D" w:rsidRDefault="002A3A2D" w:rsidP="002A3A2D">
      <w:r>
        <w:t xml:space="preserve">We also criticised the </w:t>
      </w:r>
      <w:r w:rsidR="00EC261D">
        <w:t>M</w:t>
      </w:r>
      <w:r>
        <w:t>inistry’s failure to explain the risks linked to using a spit hood. An EU regulation on</w:t>
      </w:r>
      <w:r w:rsidR="0054690A">
        <w:t xml:space="preserve"> </w:t>
      </w:r>
      <w:r>
        <w:t>controlling</w:t>
      </w:r>
      <w:r w:rsidR="0054690A">
        <w:t xml:space="preserve"> </w:t>
      </w:r>
      <w:r>
        <w:t>the trade in items that can be used to inflict torture or inhuman treatment show that spit hoods pose a risk of choking. Several</w:t>
      </w:r>
      <w:r w:rsidR="0054690A">
        <w:t xml:space="preserve"> </w:t>
      </w:r>
      <w:r>
        <w:t xml:space="preserve">cases have been reported in other countries where people have died while wearing spit hoods, and where disproportionate use appears to have contributed to or caused the death. </w:t>
      </w:r>
    </w:p>
    <w:p w14:paraId="6940F0CB" w14:textId="15EC14BA" w:rsidR="002A3A2D" w:rsidRDefault="002A3A2D" w:rsidP="002A3A2D">
      <w:r>
        <w:t>We emphasise</w:t>
      </w:r>
      <w:r w:rsidR="00EC261D">
        <w:t>d</w:t>
      </w:r>
      <w:r>
        <w:t xml:space="preserve"> that having a hood pulled down over one’s head can contribute to a strong sense of fear, high levels of stress, a feeling of loss of control and a sensation of being choked. This particularly applies to people with serious conditions, such as psychosis, </w:t>
      </w:r>
      <w:proofErr w:type="gramStart"/>
      <w:r>
        <w:t>anxiety</w:t>
      </w:r>
      <w:proofErr w:type="gramEnd"/>
      <w:r>
        <w:t xml:space="preserve"> and phobias, such as claustrophobia. This is a</w:t>
      </w:r>
      <w:r w:rsidR="003E3D38">
        <w:t xml:space="preserve"> particular cause for concern</w:t>
      </w:r>
      <w:r>
        <w:t xml:space="preserve"> given that a high proportion of the inmates in Norwegian prisons have serious mental health issues, to a much greater extent than the rest of the population in general.</w:t>
      </w:r>
    </w:p>
    <w:p w14:paraId="7B6292A7" w14:textId="58DF7374" w:rsidR="002A3A2D" w:rsidRDefault="002A3A2D" w:rsidP="002A3A2D">
      <w:r>
        <w:t xml:space="preserve">In addition to spit hoods, the </w:t>
      </w:r>
      <w:r w:rsidR="00EC261D">
        <w:t>M</w:t>
      </w:r>
      <w:r>
        <w:t xml:space="preserve">inistry also proposed lowering the threshold for the use of restraints such as hand cuffs and body cuffs. The Parliamentary Ombudsman disagrees with the </w:t>
      </w:r>
      <w:r w:rsidR="00EC261D">
        <w:t>M</w:t>
      </w:r>
      <w:r>
        <w:t xml:space="preserve">inistry that these restraints are less </w:t>
      </w:r>
      <w:r w:rsidR="00DD4B61">
        <w:t>intrusive</w:t>
      </w:r>
      <w:r>
        <w:t>. A body cuff can restrict the inmates’ freedom of movement to the extent that they cannot walk or move their arms. The fact that the use of a spit hood entails both a hood and a mechanical restraint being p</w:t>
      </w:r>
      <w:r w:rsidR="00C37E17">
        <w:t>laced</w:t>
      </w:r>
      <w:r>
        <w:t xml:space="preserve"> on the inmate, indicates </w:t>
      </w:r>
      <w:r w:rsidR="00C37E17">
        <w:t xml:space="preserve">that this is </w:t>
      </w:r>
      <w:r>
        <w:t xml:space="preserve">a highly </w:t>
      </w:r>
      <w:r w:rsidR="00DD4B61">
        <w:t>intrusive</w:t>
      </w:r>
      <w:r>
        <w:t xml:space="preserve"> </w:t>
      </w:r>
      <w:r w:rsidR="00C37E17">
        <w:t>coercive measure</w:t>
      </w:r>
      <w:r>
        <w:t>.</w:t>
      </w:r>
    </w:p>
    <w:p w14:paraId="0FA11AFD" w14:textId="1738F6B5" w:rsidR="002A3A2D" w:rsidRDefault="002A3A2D" w:rsidP="002A3A2D">
      <w:r>
        <w:t xml:space="preserve">We also expressed concern that </w:t>
      </w:r>
      <w:r w:rsidR="00671693">
        <w:t xml:space="preserve">the purpose </w:t>
      </w:r>
      <w:r>
        <w:t xml:space="preserve">of the </w:t>
      </w:r>
      <w:r w:rsidR="00C37E17">
        <w:t xml:space="preserve">proposed </w:t>
      </w:r>
      <w:r w:rsidR="00025456">
        <w:t>amendments was</w:t>
      </w:r>
      <w:r>
        <w:t xml:space="preserve"> to prevent inmates being confined to their cells because it did not seem advisable to let the person spend time in </w:t>
      </w:r>
      <w:r w:rsidR="00671693">
        <w:t>common areas</w:t>
      </w:r>
      <w:r>
        <w:t xml:space="preserve"> without wearing restraints. The </w:t>
      </w:r>
      <w:r w:rsidR="00C37E17">
        <w:t>M</w:t>
      </w:r>
      <w:r>
        <w:t xml:space="preserve">inistry’s proposal is inadequate for </w:t>
      </w:r>
      <w:r w:rsidR="00671693">
        <w:t>addressing</w:t>
      </w:r>
      <w:r>
        <w:t xml:space="preserve"> the challenges of solitary confinement. The proposal to introduce the use of spit hoods and to lower the threshold for</w:t>
      </w:r>
      <w:r w:rsidR="0054690A">
        <w:t xml:space="preserve"> </w:t>
      </w:r>
      <w:r>
        <w:t xml:space="preserve">using </w:t>
      </w:r>
      <w:r w:rsidR="00671693">
        <w:t>other</w:t>
      </w:r>
      <w:r>
        <w:t xml:space="preserve"> restraints indicate that</w:t>
      </w:r>
      <w:r w:rsidR="00671693">
        <w:t xml:space="preserve"> a</w:t>
      </w:r>
      <w:r>
        <w:t xml:space="preserve"> more holistic</w:t>
      </w:r>
      <w:r w:rsidR="0054690A">
        <w:t xml:space="preserve"> </w:t>
      </w:r>
      <w:r w:rsidR="00671693">
        <w:t xml:space="preserve">approach is necessary for </w:t>
      </w:r>
      <w:r w:rsidR="00025456">
        <w:t>creating prison</w:t>
      </w:r>
      <w:r>
        <w:t xml:space="preserve"> conditions that prevent the need </w:t>
      </w:r>
      <w:r w:rsidR="00671693">
        <w:t xml:space="preserve">to use </w:t>
      </w:r>
      <w:r>
        <w:t xml:space="preserve">such </w:t>
      </w:r>
      <w:r w:rsidR="00DD4B61">
        <w:t>intrusive</w:t>
      </w:r>
      <w:r>
        <w:t xml:space="preserve"> measures. The Parliamentary Ombudsman pointed out that implementing measures</w:t>
      </w:r>
      <w:r w:rsidR="0054690A">
        <w:t xml:space="preserve"> </w:t>
      </w:r>
      <w:r>
        <w:t>to counteract the high degree of solitary confinement in prisons is now of urgent importance.</w:t>
      </w:r>
    </w:p>
    <w:p w14:paraId="32951B60" w14:textId="77777777" w:rsidR="002A3A2D" w:rsidRDefault="002A3A2D" w:rsidP="002A3A2D">
      <w:pPr>
        <w:pStyle w:val="Overskrift2"/>
      </w:pPr>
      <w:r>
        <w:t>Input to proposal on common rules on use of force in the health and care services</w:t>
      </w:r>
    </w:p>
    <w:p w14:paraId="1D4805F2" w14:textId="2E6D9340" w:rsidR="002A3A2D" w:rsidRDefault="002A3A2D" w:rsidP="002A3A2D">
      <w:r>
        <w:t xml:space="preserve">In December, the Ombudsman made a consultation submission on the </w:t>
      </w:r>
      <w:proofErr w:type="spellStart"/>
      <w:r>
        <w:t>Østenstad</w:t>
      </w:r>
      <w:proofErr w:type="spellEnd"/>
      <w:r>
        <w:t xml:space="preserve"> </w:t>
      </w:r>
      <w:r w:rsidR="00085C69">
        <w:t>C</w:t>
      </w:r>
      <w:r>
        <w:t xml:space="preserve">ommittee’s </w:t>
      </w:r>
      <w:r w:rsidR="00891F89">
        <w:t xml:space="preserve">draft legislation </w:t>
      </w:r>
      <w:r>
        <w:t xml:space="preserve">proposal on the use of force and interventions without consent in the health and care services (Norwegian Official Report 2019: 14 </w:t>
      </w:r>
      <w:proofErr w:type="spellStart"/>
      <w:r w:rsidRPr="004C4234">
        <w:rPr>
          <w:i/>
        </w:rPr>
        <w:t>Tvangsbegrensningsloven</w:t>
      </w:r>
      <w:proofErr w:type="spellEnd"/>
      <w:r>
        <w:t>).</w:t>
      </w:r>
      <w:r>
        <w:rPr>
          <w:rStyle w:val="Fotnotereferanse"/>
        </w:rPr>
        <w:footnoteReference w:id="4"/>
      </w:r>
      <w:r>
        <w:t xml:space="preserve"> The comments were based on </w:t>
      </w:r>
      <w:r w:rsidR="005E4D28">
        <w:t xml:space="preserve">the Ombudsman’s </w:t>
      </w:r>
      <w:r>
        <w:t xml:space="preserve">statements in complaints cases and findings from visits to places of detention under the </w:t>
      </w:r>
      <w:r w:rsidR="005E4D28">
        <w:t>mandate of the NPM</w:t>
      </w:r>
      <w:r>
        <w:t xml:space="preserve">. </w:t>
      </w:r>
    </w:p>
    <w:p w14:paraId="6F18E71C" w14:textId="716E7B5D" w:rsidR="002A3A2D" w:rsidRDefault="002A3A2D" w:rsidP="002A3A2D">
      <w:r>
        <w:lastRenderedPageBreak/>
        <w:t xml:space="preserve">In the consultation </w:t>
      </w:r>
      <w:r w:rsidR="005E4D28">
        <w:t>submission</w:t>
      </w:r>
      <w:r>
        <w:t xml:space="preserve">, the Ombudsman called for a more detailed assessment of </w:t>
      </w:r>
      <w:r w:rsidR="00464405">
        <w:t xml:space="preserve">the threshold for applying </w:t>
      </w:r>
      <w:r>
        <w:t>involuntary treatment, such as forced medication and electroconvulsive therapy (ECT)</w:t>
      </w:r>
      <w:r w:rsidR="00F47673">
        <w:t xml:space="preserve"> in relation to human rights standards</w:t>
      </w:r>
      <w:r>
        <w:t xml:space="preserve">. Such questions were not sufficiently addressed in the report, particularly </w:t>
      </w:r>
      <w:proofErr w:type="gramStart"/>
      <w:r>
        <w:t>in light of</w:t>
      </w:r>
      <w:proofErr w:type="gramEnd"/>
      <w:r>
        <w:t xml:space="preserve"> international legal developments resulting in more stringent control of the use of coercive measures </w:t>
      </w:r>
      <w:r w:rsidR="00F47673">
        <w:t xml:space="preserve">concerning </w:t>
      </w:r>
      <w:r w:rsidR="005E4D28">
        <w:t xml:space="preserve">persons </w:t>
      </w:r>
      <w:r>
        <w:t xml:space="preserve">with disabilities. </w:t>
      </w:r>
    </w:p>
    <w:p w14:paraId="296700FA" w14:textId="367F9BC4" w:rsidR="002A3A2D" w:rsidRDefault="002A3A2D" w:rsidP="002A3A2D">
      <w:r>
        <w:t>The Ombudsman pointed out that the legislation must ensure adequate protection against torture or other inhuman or degrading treatment. The legislation must also be in accordance with the prohibition against discrimination based on disabilities and the right to protect personal integrity and self-determination. The Ombudsman stated that the legislator is oblig</w:t>
      </w:r>
      <w:r w:rsidR="00D15FEB">
        <w:t>ated</w:t>
      </w:r>
      <w:r>
        <w:t xml:space="preserve"> to undertake a general proportionality assessment of new legislation that authorises such use of force.</w:t>
      </w:r>
      <w:r w:rsidR="0054690A">
        <w:t xml:space="preserve"> </w:t>
      </w:r>
    </w:p>
    <w:p w14:paraId="6F9D4E8F" w14:textId="7DB6CC4B" w:rsidR="002A3A2D" w:rsidRDefault="002A3A2D" w:rsidP="002A3A2D">
      <w:r>
        <w:t xml:space="preserve">The </w:t>
      </w:r>
      <w:r w:rsidR="00085C69">
        <w:t>C</w:t>
      </w:r>
      <w:r>
        <w:t xml:space="preserve">ommittee suggested continuing the practice of forced medication. It is the opinion of the Ombudsman that the report did not substantiate a fair balance between the </w:t>
      </w:r>
      <w:r w:rsidR="00D15FEB">
        <w:t xml:space="preserve">benefits </w:t>
      </w:r>
      <w:r>
        <w:t xml:space="preserve">such an intervention </w:t>
      </w:r>
      <w:r w:rsidR="00D15FEB">
        <w:t xml:space="preserve">has </w:t>
      </w:r>
      <w:r>
        <w:t>and the harm it inflicts.</w:t>
      </w:r>
      <w:r w:rsidR="0054690A">
        <w:t xml:space="preserve"> </w:t>
      </w:r>
      <w:r w:rsidR="00D15FEB">
        <w:t>T</w:t>
      </w:r>
      <w:r w:rsidR="005E4D28">
        <w:t>his was</w:t>
      </w:r>
      <w:r w:rsidR="00D15FEB">
        <w:t xml:space="preserve"> specifically</w:t>
      </w:r>
      <w:r w:rsidR="005E4D28">
        <w:t xml:space="preserve"> based on </w:t>
      </w:r>
      <w:r w:rsidR="00025456">
        <w:t>the lack</w:t>
      </w:r>
      <w:r w:rsidR="00D15FEB">
        <w:t xml:space="preserve"> of </w:t>
      </w:r>
      <w:r>
        <w:t>adequate knowledge of the effects</w:t>
      </w:r>
      <w:r w:rsidR="005E4D28">
        <w:t xml:space="preserve"> of </w:t>
      </w:r>
      <w:r w:rsidR="00D15FEB">
        <w:t xml:space="preserve">these treatment </w:t>
      </w:r>
      <w:r w:rsidR="00025456">
        <w:t>measures and</w:t>
      </w:r>
      <w:r>
        <w:t xml:space="preserve"> </w:t>
      </w:r>
      <w:r w:rsidR="005E4D28">
        <w:t xml:space="preserve">the </w:t>
      </w:r>
      <w:r>
        <w:t>serious nature of such interventions.</w:t>
      </w:r>
      <w:r w:rsidR="0054690A">
        <w:t xml:space="preserve"> </w:t>
      </w:r>
      <w:r>
        <w:t xml:space="preserve">The Ombudsman also criticised the </w:t>
      </w:r>
      <w:r w:rsidR="00085C69">
        <w:t>C</w:t>
      </w:r>
      <w:r>
        <w:t xml:space="preserve">ommittee’s proposal to legalise ECT without informed consent as a life-saving measure. The Ombudsman was critical of the fact that inadequate </w:t>
      </w:r>
      <w:r w:rsidR="00D15FEB">
        <w:t>research</w:t>
      </w:r>
      <w:r>
        <w:t xml:space="preserve"> meant that it remained unclear whether ECT is necessary to save lives, or whether other measures could prove just as effective. </w:t>
      </w:r>
    </w:p>
    <w:p w14:paraId="00DBB8B1" w14:textId="047A9332" w:rsidR="002A3A2D" w:rsidRDefault="002A3A2D" w:rsidP="002A3A2D">
      <w:r>
        <w:t xml:space="preserve">In more general terms, the Ombudsman also called for the proposed draft </w:t>
      </w:r>
      <w:r w:rsidR="00D15FEB">
        <w:t>legislation</w:t>
      </w:r>
      <w:r>
        <w:t xml:space="preserve"> to </w:t>
      </w:r>
      <w:r w:rsidR="00025456">
        <w:t>clarify that</w:t>
      </w:r>
      <w:r>
        <w:t xml:space="preserve"> any person deprived of their liberty still has fundamental rights. The Ombudsman also pointed out</w:t>
      </w:r>
      <w:r w:rsidR="0054690A">
        <w:t xml:space="preserve"> </w:t>
      </w:r>
      <w:r>
        <w:t xml:space="preserve">that the law is construed in a complex manner, </w:t>
      </w:r>
      <w:r w:rsidR="00D15FEB">
        <w:t>making it</w:t>
      </w:r>
      <w:r>
        <w:t xml:space="preserve"> difficult to understand both for</w:t>
      </w:r>
      <w:r w:rsidR="00634B98">
        <w:t xml:space="preserve"> the individual patient or user</w:t>
      </w:r>
      <w:r>
        <w:t xml:space="preserve"> and for medical and care personnel. There is therefore a need to </w:t>
      </w:r>
      <w:r w:rsidR="005E4D28">
        <w:t>ensure that the</w:t>
      </w:r>
      <w:r>
        <w:t xml:space="preserve"> legislation</w:t>
      </w:r>
      <w:r w:rsidR="005E4D28">
        <w:t xml:space="preserve"> is written in </w:t>
      </w:r>
      <w:r w:rsidR="00D15FEB">
        <w:t xml:space="preserve">a more </w:t>
      </w:r>
      <w:r>
        <w:t>accessible</w:t>
      </w:r>
      <w:r w:rsidR="00762F35">
        <w:t xml:space="preserve"> </w:t>
      </w:r>
      <w:r>
        <w:t>language.</w:t>
      </w:r>
    </w:p>
    <w:p w14:paraId="084911C8" w14:textId="28A91BB2" w:rsidR="002A3A2D" w:rsidRDefault="002A3A2D" w:rsidP="002A3A2D">
      <w:r>
        <w:t xml:space="preserve">The Ombudsman expressed concern over the </w:t>
      </w:r>
      <w:r w:rsidR="00762F35">
        <w:t>C</w:t>
      </w:r>
      <w:r>
        <w:t xml:space="preserve">ommittee’s proposal that measures are only to be considered coercive if the patient shows resistance. The background for this concern is that many patients do not show resistance due to trauma, or because an unequal balance of power makes resistance seem futile. The Ombudsman was furthermore critical of the </w:t>
      </w:r>
      <w:r w:rsidR="00762F35">
        <w:t>C</w:t>
      </w:r>
      <w:r>
        <w:t>ommittee’s proposal to make a lack of decision-making competence a key requirement for the use of force</w:t>
      </w:r>
      <w:r w:rsidR="00762F35">
        <w:t>. This is problematic for reasons such as it being</w:t>
      </w:r>
      <w:r>
        <w:t xml:space="preserve"> unclear</w:t>
      </w:r>
      <w:r w:rsidR="00762F35">
        <w:t xml:space="preserve"> how such assessments should be done and</w:t>
      </w:r>
      <w:r>
        <w:t xml:space="preserve"> which criteria </w:t>
      </w:r>
      <w:r w:rsidR="00762F35">
        <w:t xml:space="preserve">it </w:t>
      </w:r>
      <w:r>
        <w:t xml:space="preserve">should be based on. </w:t>
      </w:r>
    </w:p>
    <w:p w14:paraId="763BD0F7" w14:textId="07AAD1C2" w:rsidR="002A3A2D" w:rsidRDefault="002A3A2D" w:rsidP="002A3A2D">
      <w:r>
        <w:t xml:space="preserve">The </w:t>
      </w:r>
      <w:r w:rsidR="00762F35">
        <w:t>C</w:t>
      </w:r>
      <w:r>
        <w:t xml:space="preserve">ommittee also proposed rules on the use of force in emergency situations, including legally establishing health law rules for grounds of necessity and self-defence, and tightening the rules on particularly </w:t>
      </w:r>
      <w:r w:rsidR="00DD4B61">
        <w:t>intrusive</w:t>
      </w:r>
      <w:r>
        <w:t xml:space="preserve"> measures to prevent injury in emergency situations. The </w:t>
      </w:r>
      <w:r w:rsidR="00762F35">
        <w:t>C</w:t>
      </w:r>
      <w:r>
        <w:t xml:space="preserve">ommittee’s proposal to phase out mechanical restraints within three years will, in the Ombudsman’s view, help to reduce the risk of inhuman or degrading treatment. </w:t>
      </w:r>
      <w:r w:rsidR="00762F35">
        <w:t xml:space="preserve">Even so, </w:t>
      </w:r>
      <w:r>
        <w:t xml:space="preserve">the Ombudsman recommended that immediate measures </w:t>
      </w:r>
      <w:r w:rsidR="00762F35">
        <w:t>be</w:t>
      </w:r>
      <w:r>
        <w:t xml:space="preserve"> considered</w:t>
      </w:r>
      <w:r w:rsidR="0054690A">
        <w:t xml:space="preserve"> </w:t>
      </w:r>
      <w:r>
        <w:t xml:space="preserve">to ensure </w:t>
      </w:r>
      <w:r w:rsidR="00762F35">
        <w:t xml:space="preserve">that </w:t>
      </w:r>
      <w:r>
        <w:t xml:space="preserve">the use of mechanical constraints on children ceased as quickly as possible. The Ombudsman also called for special legal safeguards to prevent long-term use of mechanical restraints. We also pointed out that it was doubtful whether the </w:t>
      </w:r>
      <w:r w:rsidR="00762F35">
        <w:t>C</w:t>
      </w:r>
      <w:r>
        <w:t xml:space="preserve">ommittee's proposal to allow segregation to prevent injury (solitary confinement) </w:t>
      </w:r>
      <w:proofErr w:type="gramStart"/>
      <w:r>
        <w:t>in order to</w:t>
      </w:r>
      <w:proofErr w:type="gramEnd"/>
      <w:r>
        <w:t xml:space="preserve"> prevent damage to property is in </w:t>
      </w:r>
      <w:r w:rsidR="00762F35">
        <w:t>accordance</w:t>
      </w:r>
      <w:r>
        <w:t xml:space="preserve"> with human rights. The Ombudsman was also critical of the </w:t>
      </w:r>
      <w:r w:rsidR="00762F35">
        <w:t>C</w:t>
      </w:r>
      <w:r>
        <w:t xml:space="preserve">ommittee’s proposal that only </w:t>
      </w:r>
      <w:r w:rsidR="00762F35">
        <w:t xml:space="preserve">the act of </w:t>
      </w:r>
      <w:r>
        <w:t xml:space="preserve">being held to the ground by force should constitute a particularly </w:t>
      </w:r>
      <w:r w:rsidR="00DD4B61">
        <w:t>intrusive</w:t>
      </w:r>
      <w:r>
        <w:t xml:space="preserve"> measure. </w:t>
      </w:r>
    </w:p>
    <w:p w14:paraId="6FCC789E" w14:textId="1588C2C4" w:rsidR="002A3A2D" w:rsidRDefault="002A3A2D" w:rsidP="002A3A2D">
      <w:r>
        <w:t>With respect</w:t>
      </w:r>
      <w:r w:rsidR="0054690A">
        <w:t xml:space="preserve"> </w:t>
      </w:r>
      <w:r>
        <w:t xml:space="preserve">to segregation, we noted that several of the </w:t>
      </w:r>
      <w:r w:rsidR="00EC1BF6">
        <w:t>C</w:t>
      </w:r>
      <w:r>
        <w:t xml:space="preserve">ommittee’s proposals reflected findings from the Ombudsman’s visits. The Ombudsman noted that more stringent rules applied to the option of using segregation as a treatment measure, but that the proposal to lower the threshold for </w:t>
      </w:r>
      <w:r>
        <w:lastRenderedPageBreak/>
        <w:t>use of segregation out of consideration to others constituted a risk of more widespread use. Furthermore, the Ombudsman called for clearer guidelines on the practice of segregation, including</w:t>
      </w:r>
      <w:r w:rsidR="0054690A">
        <w:t xml:space="preserve"> </w:t>
      </w:r>
      <w:r w:rsidR="00D700A7">
        <w:t xml:space="preserve">setting </w:t>
      </w:r>
      <w:r>
        <w:t xml:space="preserve">limits for the use of force or </w:t>
      </w:r>
      <w:r w:rsidR="00D700A7">
        <w:t xml:space="preserve">for </w:t>
      </w:r>
      <w:r>
        <w:t>maintaining segregation. The Ombudsman also called for assessments of special legal safeguards to prevent long-time segregation, including limiting the allowed duration of segregation decisions.</w:t>
      </w:r>
    </w:p>
    <w:p w14:paraId="123C48C0" w14:textId="58DAB655" w:rsidR="002A3A2D" w:rsidRDefault="002A3A2D" w:rsidP="002A3A2D">
      <w:r>
        <w:t>The Ombudsman also made</w:t>
      </w:r>
      <w:r w:rsidR="00D700A7">
        <w:t xml:space="preserve"> several</w:t>
      </w:r>
      <w:r>
        <w:t xml:space="preserve"> other comments</w:t>
      </w:r>
      <w:r w:rsidR="00D700A7">
        <w:t xml:space="preserve"> on topics such as,</w:t>
      </w:r>
      <w:r>
        <w:t xml:space="preserve"> the proposal to introduce a duty to prevent the use of force, the right to limit visits and telephone use, use of house rules and the rules for case processing and control. </w:t>
      </w:r>
    </w:p>
    <w:p w14:paraId="3AB65A2F" w14:textId="4C2F98A9" w:rsidR="009E5BEE" w:rsidRPr="002A3A2D" w:rsidRDefault="009E5BEE" w:rsidP="002A3A2D"/>
    <w:sectPr w:rsidR="009E5BEE" w:rsidRPr="002A3A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902A" w14:textId="77777777" w:rsidR="003D7AF9" w:rsidRDefault="003D7AF9" w:rsidP="003D7AF9">
      <w:pPr>
        <w:spacing w:after="0" w:line="240" w:lineRule="auto"/>
      </w:pPr>
      <w:r>
        <w:separator/>
      </w:r>
    </w:p>
  </w:endnote>
  <w:endnote w:type="continuationSeparator" w:id="0">
    <w:p w14:paraId="2D4552E1" w14:textId="77777777" w:rsidR="003D7AF9" w:rsidRDefault="003D7AF9" w:rsidP="003D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C4A0" w14:textId="77777777" w:rsidR="003D7AF9" w:rsidRDefault="003D7AF9" w:rsidP="003D7AF9">
      <w:pPr>
        <w:spacing w:after="0" w:line="240" w:lineRule="auto"/>
      </w:pPr>
      <w:r>
        <w:separator/>
      </w:r>
    </w:p>
  </w:footnote>
  <w:footnote w:type="continuationSeparator" w:id="0">
    <w:p w14:paraId="77FCAFA0" w14:textId="77777777" w:rsidR="003D7AF9" w:rsidRDefault="003D7AF9" w:rsidP="003D7AF9">
      <w:pPr>
        <w:spacing w:after="0" w:line="240" w:lineRule="auto"/>
      </w:pPr>
      <w:r>
        <w:continuationSeparator/>
      </w:r>
    </w:p>
  </w:footnote>
  <w:footnote w:id="1">
    <w:p w14:paraId="2DBFB143" w14:textId="3A3E6C3B" w:rsidR="002A3A2D" w:rsidRDefault="002A3A2D" w:rsidP="002A3A2D">
      <w:pPr>
        <w:pStyle w:val="Fotnotetekst"/>
      </w:pPr>
      <w:r w:rsidRPr="004C4234">
        <w:rPr>
          <w:rStyle w:val="Fotnotereferanse"/>
          <w:sz w:val="18"/>
        </w:rPr>
        <w:footnoteRef/>
      </w:r>
      <w:r w:rsidRPr="004C4234">
        <w:rPr>
          <w:sz w:val="18"/>
        </w:rPr>
        <w:t xml:space="preserve"> The Parliamentary Ombudsman's consultation submission on the draft</w:t>
      </w:r>
      <w:r w:rsidR="0054690A" w:rsidRPr="004C4234">
        <w:rPr>
          <w:sz w:val="18"/>
        </w:rPr>
        <w:t xml:space="preserve"> </w:t>
      </w:r>
      <w:r w:rsidRPr="004C4234">
        <w:rPr>
          <w:sz w:val="18"/>
        </w:rPr>
        <w:t xml:space="preserve">new child welfare act, 22 July 2019. Read the whole consultation submission here: </w:t>
      </w:r>
      <w:hyperlink r:id="rId1" w:history="1">
        <w:r w:rsidRPr="004C4234">
          <w:rPr>
            <w:rStyle w:val="Hyperkobling"/>
            <w:sz w:val="18"/>
          </w:rPr>
          <w:t>https://www.sivilombudsmannen.no/wp-content/uploads/2019/07/Sivilombudsmannens-h%C3%B8ringsuttalelse-om-forslag-til-ny-barnevernlov.pdf</w:t>
        </w:r>
      </w:hyperlink>
      <w:r w:rsidR="0054690A" w:rsidRPr="004C4234">
        <w:rPr>
          <w:sz w:val="18"/>
        </w:rPr>
        <w:t xml:space="preserve"> </w:t>
      </w:r>
    </w:p>
  </w:footnote>
  <w:footnote w:id="2">
    <w:p w14:paraId="2E002411" w14:textId="48BE9475" w:rsidR="002A3A2D" w:rsidRPr="004C4234" w:rsidRDefault="002A3A2D" w:rsidP="002A3A2D">
      <w:pPr>
        <w:pStyle w:val="Fotnotetekst"/>
        <w:rPr>
          <w:sz w:val="18"/>
        </w:rPr>
      </w:pPr>
      <w:r w:rsidRPr="004C4234">
        <w:rPr>
          <w:rStyle w:val="Fotnotereferanse"/>
          <w:sz w:val="18"/>
        </w:rPr>
        <w:footnoteRef/>
      </w:r>
      <w:r w:rsidRPr="004C4234">
        <w:rPr>
          <w:sz w:val="18"/>
        </w:rPr>
        <w:t xml:space="preserve"> The Parliamentary Ombudsman’s consultation submission on guidelines for</w:t>
      </w:r>
      <w:r w:rsidR="0054690A" w:rsidRPr="004C4234">
        <w:rPr>
          <w:sz w:val="18"/>
        </w:rPr>
        <w:t xml:space="preserve"> </w:t>
      </w:r>
      <w:r w:rsidRPr="004C4234">
        <w:rPr>
          <w:sz w:val="18"/>
        </w:rPr>
        <w:t>medical services for detainees in police custody, 29 August 2019. Read the whole consultation submission here:</w:t>
      </w:r>
      <w:r w:rsidR="0054690A" w:rsidRPr="004C4234">
        <w:rPr>
          <w:sz w:val="18"/>
        </w:rPr>
        <w:t xml:space="preserve"> </w:t>
      </w:r>
      <w:hyperlink r:id="rId2" w:history="1">
        <w:r w:rsidRPr="004C4234">
          <w:rPr>
            <w:rStyle w:val="Hyperkobling"/>
            <w:sz w:val="18"/>
          </w:rPr>
          <w:t>https://www.sivilombudsmannen.no/wp-content/uploads/2019/09/Sivilombudsmannens-h%C3%B8ringsuttalelse-om-veileder-om-helsetjenester-til-arrestanter-i-politiarrest.pdf</w:t>
        </w:r>
      </w:hyperlink>
      <w:r w:rsidRPr="004C4234">
        <w:rPr>
          <w:sz w:val="18"/>
        </w:rPr>
        <w:t xml:space="preserve"> </w:t>
      </w:r>
    </w:p>
  </w:footnote>
  <w:footnote w:id="3">
    <w:p w14:paraId="56747A04" w14:textId="77777777" w:rsidR="002A3A2D" w:rsidRDefault="002A3A2D" w:rsidP="002A3A2D">
      <w:pPr>
        <w:pStyle w:val="Fotnotetekst"/>
      </w:pPr>
      <w:r w:rsidRPr="004C4234">
        <w:rPr>
          <w:rStyle w:val="Fotnotereferanse"/>
          <w:sz w:val="18"/>
        </w:rPr>
        <w:footnoteRef/>
      </w:r>
      <w:r w:rsidRPr="004C4234">
        <w:rPr>
          <w:sz w:val="18"/>
        </w:rPr>
        <w:t xml:space="preserve"> The Parliamentary Ombudsman’s consultation submission on proposed amendments to the Execution of Sentences Act (use of spit hoods), 30 September 2019. Read the whole consultation submission here: </w:t>
      </w:r>
      <w:hyperlink r:id="rId3" w:history="1">
        <w:r w:rsidRPr="004C4234">
          <w:rPr>
            <w:rStyle w:val="Hyperkobling"/>
            <w:sz w:val="18"/>
          </w:rPr>
          <w:t>https://www.sivilombudsmannen.no/wp-content/uploads/2019/10/Sivilombudsmannens-h%C3%B8ringsuttalelse-om-forslag-til-endringer-i-straffegjennomf%C3%B8ringsloven-bruk-av-spytthette-mv..pdf</w:t>
        </w:r>
      </w:hyperlink>
      <w:r w:rsidRPr="004C4234">
        <w:rPr>
          <w:sz w:val="18"/>
        </w:rPr>
        <w:t xml:space="preserve"> </w:t>
      </w:r>
    </w:p>
  </w:footnote>
  <w:footnote w:id="4">
    <w:p w14:paraId="4D79BD20" w14:textId="32D563D1" w:rsidR="002A3A2D" w:rsidRDefault="002A3A2D" w:rsidP="002A3A2D">
      <w:pPr>
        <w:pStyle w:val="Fotnotetekst"/>
      </w:pPr>
      <w:r>
        <w:rPr>
          <w:rStyle w:val="Fotnotereferanse"/>
        </w:rPr>
        <w:footnoteRef/>
      </w:r>
      <w:r>
        <w:t xml:space="preserve"> </w:t>
      </w:r>
      <w:r w:rsidRPr="004C4234">
        <w:rPr>
          <w:sz w:val="18"/>
        </w:rPr>
        <w:t xml:space="preserve">The Parliamentary Ombudsman’s consultation response to Norwegian Official Report 2019: 14 </w:t>
      </w:r>
      <w:proofErr w:type="spellStart"/>
      <w:r w:rsidRPr="004C4234">
        <w:rPr>
          <w:i/>
          <w:sz w:val="18"/>
        </w:rPr>
        <w:t>Tvangsbegrensningsloven</w:t>
      </w:r>
      <w:proofErr w:type="spellEnd"/>
      <w:r w:rsidRPr="004C4234">
        <w:rPr>
          <w:sz w:val="18"/>
        </w:rPr>
        <w:t xml:space="preserve">, 30 December 2019. Read the whole consultation hearing here: </w:t>
      </w:r>
      <w:hyperlink r:id="rId4" w:history="1">
        <w:r w:rsidRPr="004C4234">
          <w:rPr>
            <w:rStyle w:val="Hyperkobling"/>
            <w:sz w:val="18"/>
          </w:rPr>
          <w:t>https://www.sivilombudsmannen.no/wp-content/uploads/2019/12/Sivilombudsmannens-høringssvar-NOU-2019_14-Tvangsbegrensningsloven.pdf</w:t>
        </w:r>
      </w:hyperlink>
      <w:r w:rsidR="0054690A" w:rsidRPr="004C4234">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5055D"/>
    <w:multiLevelType w:val="hybridMultilevel"/>
    <w:tmpl w:val="694273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51"/>
    <w:rsid w:val="0000562C"/>
    <w:rsid w:val="00025456"/>
    <w:rsid w:val="000522B1"/>
    <w:rsid w:val="00053930"/>
    <w:rsid w:val="00085C69"/>
    <w:rsid w:val="00091275"/>
    <w:rsid w:val="000B1B5A"/>
    <w:rsid w:val="000B2210"/>
    <w:rsid w:val="000C49D4"/>
    <w:rsid w:val="000D46C6"/>
    <w:rsid w:val="00102E0E"/>
    <w:rsid w:val="00104BF3"/>
    <w:rsid w:val="00110905"/>
    <w:rsid w:val="0011645D"/>
    <w:rsid w:val="00131D1D"/>
    <w:rsid w:val="0015625A"/>
    <w:rsid w:val="001644DB"/>
    <w:rsid w:val="00180454"/>
    <w:rsid w:val="001843D1"/>
    <w:rsid w:val="00187AB9"/>
    <w:rsid w:val="00195CE4"/>
    <w:rsid w:val="00197DC7"/>
    <w:rsid w:val="001D0275"/>
    <w:rsid w:val="001D2CAC"/>
    <w:rsid w:val="001E42FB"/>
    <w:rsid w:val="001F05B9"/>
    <w:rsid w:val="002229E3"/>
    <w:rsid w:val="002301F5"/>
    <w:rsid w:val="002529D3"/>
    <w:rsid w:val="00257E5B"/>
    <w:rsid w:val="0028595C"/>
    <w:rsid w:val="002A3A2D"/>
    <w:rsid w:val="002A59BB"/>
    <w:rsid w:val="002B753C"/>
    <w:rsid w:val="002C19F8"/>
    <w:rsid w:val="002C7208"/>
    <w:rsid w:val="002D0849"/>
    <w:rsid w:val="002D3CE5"/>
    <w:rsid w:val="002F3552"/>
    <w:rsid w:val="002F35BC"/>
    <w:rsid w:val="003366CB"/>
    <w:rsid w:val="00357CC8"/>
    <w:rsid w:val="00365D82"/>
    <w:rsid w:val="00396E68"/>
    <w:rsid w:val="003C0ABF"/>
    <w:rsid w:val="003D7AF9"/>
    <w:rsid w:val="003E3D38"/>
    <w:rsid w:val="00401F0C"/>
    <w:rsid w:val="00433D00"/>
    <w:rsid w:val="00464405"/>
    <w:rsid w:val="00465B45"/>
    <w:rsid w:val="00471914"/>
    <w:rsid w:val="004936DE"/>
    <w:rsid w:val="00493A05"/>
    <w:rsid w:val="004C4234"/>
    <w:rsid w:val="004E673F"/>
    <w:rsid w:val="00501E14"/>
    <w:rsid w:val="0052202D"/>
    <w:rsid w:val="00530A2F"/>
    <w:rsid w:val="00530D65"/>
    <w:rsid w:val="0054690A"/>
    <w:rsid w:val="00563BA0"/>
    <w:rsid w:val="005737B9"/>
    <w:rsid w:val="005B09F3"/>
    <w:rsid w:val="005B5E1C"/>
    <w:rsid w:val="005C6080"/>
    <w:rsid w:val="005C76EC"/>
    <w:rsid w:val="005C7AFF"/>
    <w:rsid w:val="005D295D"/>
    <w:rsid w:val="005D7FE9"/>
    <w:rsid w:val="005E11D3"/>
    <w:rsid w:val="005E4D28"/>
    <w:rsid w:val="00627E08"/>
    <w:rsid w:val="00634B98"/>
    <w:rsid w:val="006436E5"/>
    <w:rsid w:val="00671693"/>
    <w:rsid w:val="006B5AD7"/>
    <w:rsid w:val="007231ED"/>
    <w:rsid w:val="00746DA0"/>
    <w:rsid w:val="0076297E"/>
    <w:rsid w:val="00762F35"/>
    <w:rsid w:val="007B581B"/>
    <w:rsid w:val="007C5842"/>
    <w:rsid w:val="007C64D2"/>
    <w:rsid w:val="007F31D9"/>
    <w:rsid w:val="00805120"/>
    <w:rsid w:val="0082446A"/>
    <w:rsid w:val="0083352B"/>
    <w:rsid w:val="008469E8"/>
    <w:rsid w:val="00863F03"/>
    <w:rsid w:val="00891F89"/>
    <w:rsid w:val="008977BD"/>
    <w:rsid w:val="008A185B"/>
    <w:rsid w:val="008C5C40"/>
    <w:rsid w:val="008E3C90"/>
    <w:rsid w:val="008F1A20"/>
    <w:rsid w:val="00903568"/>
    <w:rsid w:val="00971055"/>
    <w:rsid w:val="00993F69"/>
    <w:rsid w:val="009B6A25"/>
    <w:rsid w:val="009C1442"/>
    <w:rsid w:val="009D4EAA"/>
    <w:rsid w:val="009E5BEE"/>
    <w:rsid w:val="009F7EB6"/>
    <w:rsid w:val="00A34B0B"/>
    <w:rsid w:val="00A37C65"/>
    <w:rsid w:val="00A414D8"/>
    <w:rsid w:val="00A46BC3"/>
    <w:rsid w:val="00A56ECA"/>
    <w:rsid w:val="00A757C9"/>
    <w:rsid w:val="00A76364"/>
    <w:rsid w:val="00A92EC9"/>
    <w:rsid w:val="00A97CE4"/>
    <w:rsid w:val="00AD3F97"/>
    <w:rsid w:val="00AE3079"/>
    <w:rsid w:val="00B06F83"/>
    <w:rsid w:val="00B158A0"/>
    <w:rsid w:val="00B309D6"/>
    <w:rsid w:val="00B57B6E"/>
    <w:rsid w:val="00B76A0F"/>
    <w:rsid w:val="00BC4DFA"/>
    <w:rsid w:val="00BF5A00"/>
    <w:rsid w:val="00BF5EDD"/>
    <w:rsid w:val="00C351B9"/>
    <w:rsid w:val="00C3548E"/>
    <w:rsid w:val="00C37E17"/>
    <w:rsid w:val="00C57ED7"/>
    <w:rsid w:val="00C81646"/>
    <w:rsid w:val="00C819B3"/>
    <w:rsid w:val="00C84AD5"/>
    <w:rsid w:val="00C90EA7"/>
    <w:rsid w:val="00CC4E58"/>
    <w:rsid w:val="00CD348E"/>
    <w:rsid w:val="00D1127A"/>
    <w:rsid w:val="00D15FEB"/>
    <w:rsid w:val="00D16524"/>
    <w:rsid w:val="00D30510"/>
    <w:rsid w:val="00D350B2"/>
    <w:rsid w:val="00D4122A"/>
    <w:rsid w:val="00D52718"/>
    <w:rsid w:val="00D5535C"/>
    <w:rsid w:val="00D700A7"/>
    <w:rsid w:val="00D764BA"/>
    <w:rsid w:val="00D82617"/>
    <w:rsid w:val="00D940E7"/>
    <w:rsid w:val="00D9469D"/>
    <w:rsid w:val="00DB032C"/>
    <w:rsid w:val="00DB0CFB"/>
    <w:rsid w:val="00DB57EE"/>
    <w:rsid w:val="00DC642E"/>
    <w:rsid w:val="00DD2506"/>
    <w:rsid w:val="00DD4151"/>
    <w:rsid w:val="00DD4B61"/>
    <w:rsid w:val="00EA0F39"/>
    <w:rsid w:val="00EA6F87"/>
    <w:rsid w:val="00EC1BF6"/>
    <w:rsid w:val="00EC261D"/>
    <w:rsid w:val="00EE1251"/>
    <w:rsid w:val="00EF2A30"/>
    <w:rsid w:val="00EF74CA"/>
    <w:rsid w:val="00F01749"/>
    <w:rsid w:val="00F0180C"/>
    <w:rsid w:val="00F06AF4"/>
    <w:rsid w:val="00F31811"/>
    <w:rsid w:val="00F43BFF"/>
    <w:rsid w:val="00F47673"/>
    <w:rsid w:val="00F729CC"/>
    <w:rsid w:val="00FC2A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86B0"/>
  <w15:chartTrackingRefBased/>
  <w15:docId w15:val="{E0167A5B-737B-4153-9F7F-3139F674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2D"/>
    <w:pPr>
      <w:spacing w:line="256" w:lineRule="auto"/>
    </w:pPr>
  </w:style>
  <w:style w:type="paragraph" w:styleId="Overskrift1">
    <w:name w:val="heading 1"/>
    <w:basedOn w:val="Normal"/>
    <w:next w:val="Normal"/>
    <w:link w:val="Overskrift1Tegn"/>
    <w:uiPriority w:val="9"/>
    <w:qFormat/>
    <w:rsid w:val="005B09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433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B09F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433D00"/>
    <w:rPr>
      <w:rFonts w:asciiTheme="majorHAnsi" w:eastAsiaTheme="majorEastAsia" w:hAnsiTheme="majorHAnsi" w:cstheme="majorBidi"/>
      <w:color w:val="2E74B5" w:themeColor="accent1" w:themeShade="BF"/>
      <w:sz w:val="26"/>
      <w:szCs w:val="26"/>
    </w:rPr>
  </w:style>
  <w:style w:type="character" w:styleId="Merknadsreferanse">
    <w:name w:val="annotation reference"/>
    <w:basedOn w:val="Standardskriftforavsnitt"/>
    <w:uiPriority w:val="99"/>
    <w:semiHidden/>
    <w:unhideWhenUsed/>
    <w:rsid w:val="009C1442"/>
    <w:rPr>
      <w:sz w:val="16"/>
      <w:szCs w:val="16"/>
    </w:rPr>
  </w:style>
  <w:style w:type="paragraph" w:styleId="Merknadstekst">
    <w:name w:val="annotation text"/>
    <w:basedOn w:val="Normal"/>
    <w:link w:val="MerknadstekstTegn"/>
    <w:uiPriority w:val="99"/>
    <w:semiHidden/>
    <w:unhideWhenUsed/>
    <w:rsid w:val="009C14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C1442"/>
    <w:rPr>
      <w:sz w:val="20"/>
      <w:szCs w:val="20"/>
    </w:rPr>
  </w:style>
  <w:style w:type="paragraph" w:styleId="Kommentaremne">
    <w:name w:val="annotation subject"/>
    <w:basedOn w:val="Merknadstekst"/>
    <w:next w:val="Merknadstekst"/>
    <w:link w:val="KommentaremneTegn"/>
    <w:uiPriority w:val="99"/>
    <w:semiHidden/>
    <w:unhideWhenUsed/>
    <w:rsid w:val="009C1442"/>
    <w:rPr>
      <w:b/>
      <w:bCs/>
    </w:rPr>
  </w:style>
  <w:style w:type="character" w:customStyle="1" w:styleId="KommentaremneTegn">
    <w:name w:val="Kommentaremne Tegn"/>
    <w:basedOn w:val="MerknadstekstTegn"/>
    <w:link w:val="Kommentaremne"/>
    <w:uiPriority w:val="99"/>
    <w:semiHidden/>
    <w:rsid w:val="009C1442"/>
    <w:rPr>
      <w:b/>
      <w:bCs/>
      <w:sz w:val="20"/>
      <w:szCs w:val="20"/>
    </w:rPr>
  </w:style>
  <w:style w:type="paragraph" w:styleId="Bobletekst">
    <w:name w:val="Balloon Text"/>
    <w:basedOn w:val="Normal"/>
    <w:link w:val="BobletekstTegn"/>
    <w:uiPriority w:val="99"/>
    <w:semiHidden/>
    <w:unhideWhenUsed/>
    <w:rsid w:val="009C144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C1442"/>
    <w:rPr>
      <w:rFonts w:ascii="Segoe UI" w:hAnsi="Segoe UI" w:cs="Segoe UI"/>
      <w:sz w:val="18"/>
      <w:szCs w:val="18"/>
    </w:rPr>
  </w:style>
  <w:style w:type="paragraph" w:styleId="Listeavsnitt">
    <w:name w:val="List Paragraph"/>
    <w:basedOn w:val="Normal"/>
    <w:uiPriority w:val="34"/>
    <w:qFormat/>
    <w:rsid w:val="00C3548E"/>
    <w:pPr>
      <w:ind w:left="720"/>
      <w:contextualSpacing/>
    </w:pPr>
  </w:style>
  <w:style w:type="paragraph" w:styleId="Fotnotetekst">
    <w:name w:val="footnote text"/>
    <w:basedOn w:val="Normal"/>
    <w:link w:val="FotnotetekstTegn"/>
    <w:uiPriority w:val="99"/>
    <w:semiHidden/>
    <w:unhideWhenUsed/>
    <w:rsid w:val="003D7AF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D7AF9"/>
    <w:rPr>
      <w:sz w:val="20"/>
      <w:szCs w:val="20"/>
    </w:rPr>
  </w:style>
  <w:style w:type="character" w:styleId="Fotnotereferanse">
    <w:name w:val="footnote reference"/>
    <w:basedOn w:val="Standardskriftforavsnitt"/>
    <w:uiPriority w:val="99"/>
    <w:semiHidden/>
    <w:unhideWhenUsed/>
    <w:rsid w:val="003D7AF9"/>
    <w:rPr>
      <w:vertAlign w:val="superscript"/>
    </w:rPr>
  </w:style>
  <w:style w:type="character" w:styleId="Hyperkobling">
    <w:name w:val="Hyperlink"/>
    <w:basedOn w:val="Standardskriftforavsnitt"/>
    <w:uiPriority w:val="99"/>
    <w:unhideWhenUsed/>
    <w:rsid w:val="003D7AF9"/>
    <w:rPr>
      <w:color w:val="0000FF"/>
      <w:u w:val="single"/>
    </w:rPr>
  </w:style>
  <w:style w:type="character" w:customStyle="1" w:styleId="Ulstomtale1">
    <w:name w:val="Uløst omtale1"/>
    <w:basedOn w:val="Standardskriftforavsnitt"/>
    <w:uiPriority w:val="99"/>
    <w:semiHidden/>
    <w:unhideWhenUsed/>
    <w:rsid w:val="003D7AF9"/>
    <w:rPr>
      <w:color w:val="605E5C"/>
      <w:shd w:val="clear" w:color="auto" w:fill="E1DFDD"/>
    </w:rPr>
  </w:style>
  <w:style w:type="paragraph" w:customStyle="1" w:styleId="Default">
    <w:name w:val="Default"/>
    <w:rsid w:val="00C57ED7"/>
    <w:pPr>
      <w:autoSpaceDE w:val="0"/>
      <w:autoSpaceDN w:val="0"/>
      <w:adjustRightInd w:val="0"/>
      <w:spacing w:after="0" w:line="240" w:lineRule="auto"/>
    </w:pPr>
    <w:rPr>
      <w:rFonts w:ascii="Calibri" w:hAnsi="Calibri" w:cs="Calibri"/>
      <w:color w:val="000000"/>
      <w:sz w:val="24"/>
      <w:szCs w:val="24"/>
    </w:rPr>
  </w:style>
  <w:style w:type="paragraph" w:styleId="Revisjon">
    <w:name w:val="Revision"/>
    <w:hidden/>
    <w:uiPriority w:val="99"/>
    <w:semiHidden/>
    <w:rsid w:val="004936DE"/>
    <w:pPr>
      <w:spacing w:after="0" w:line="240" w:lineRule="auto"/>
    </w:pPr>
  </w:style>
  <w:style w:type="character" w:styleId="Fulgthyperkobling">
    <w:name w:val="FollowedHyperlink"/>
    <w:basedOn w:val="Standardskriftforavsnitt"/>
    <w:uiPriority w:val="99"/>
    <w:semiHidden/>
    <w:unhideWhenUsed/>
    <w:rsid w:val="002F3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86484">
      <w:bodyDiv w:val="1"/>
      <w:marLeft w:val="0"/>
      <w:marRight w:val="0"/>
      <w:marTop w:val="0"/>
      <w:marBottom w:val="0"/>
      <w:divBdr>
        <w:top w:val="none" w:sz="0" w:space="0" w:color="auto"/>
        <w:left w:val="none" w:sz="0" w:space="0" w:color="auto"/>
        <w:bottom w:val="none" w:sz="0" w:space="0" w:color="auto"/>
        <w:right w:val="none" w:sz="0" w:space="0" w:color="auto"/>
      </w:divBdr>
    </w:div>
    <w:div w:id="126604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ivilombudsmannen.no/wp-content/uploads/2019/10/Sivilombudsmannens-h&#248;ringsuttalelse-om-forslag-til-endringer-i-straffegjennomf&#248;ringsloven-bruk-av-spytthette-mv..pdf" TargetMode="External"/><Relationship Id="rId2" Type="http://schemas.openxmlformats.org/officeDocument/2006/relationships/hyperlink" Target="https://www.sivilombudsmannen.no/wp-content/uploads/2019/09/Sivilombudsmannens-h&#248;ringsuttalelse-om-veileder-om-helsetjenester-til-arrestanter-i-politiarrest.pdf" TargetMode="External"/><Relationship Id="rId1" Type="http://schemas.openxmlformats.org/officeDocument/2006/relationships/hyperlink" Target="https://www.sivilombudsmannen.no/wp-content/uploads/2019/07/Sivilombudsmannens-h&#248;ringsuttalelse-om-forslag-til-ny-barnevernlov.pdf" TargetMode="External"/><Relationship Id="rId4" Type="http://schemas.openxmlformats.org/officeDocument/2006/relationships/hyperlink" Target="https://www.sivilombudsmannen.no/wp-content/uploads/2019/12/Sivilombudsmannens-h&#248;ringssvar-NOU-2019_14-Tvangsbegrensningslov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type xmlns="67D70AC3-B026-4024-B8BB-FD80587200AD">Rapportutkast</Dokumenttype>
    <SharedWithUsers xmlns="f68474fa-a43b-49c6-9efc-3b4b1c12bd89">
      <UserInfo>
        <DisplayName>Helga Fastrup Ervik</DisplayName>
        <AccountId>23</AccountId>
        <AccountType/>
      </UserInfo>
      <UserInfo>
        <DisplayName>Mari Dahl Schlanbusch</DisplayName>
        <AccountId>78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84738DDDAA5024EB11103C7443CB1EC" ma:contentTypeVersion="" ma:contentTypeDescription="Opprett et nytt dokument." ma:contentTypeScope="" ma:versionID="167a02429c4ffca7154860304c233f89">
  <xsd:schema xmlns:xsd="http://www.w3.org/2001/XMLSchema" xmlns:xs="http://www.w3.org/2001/XMLSchema" xmlns:p="http://schemas.microsoft.com/office/2006/metadata/properties" xmlns:ns2="67D70AC3-B026-4024-B8BB-FD80587200AD" xmlns:ns3="f68474fa-a43b-49c6-9efc-3b4b1c12bd89" targetNamespace="http://schemas.microsoft.com/office/2006/metadata/properties" ma:root="true" ma:fieldsID="1188da56c5f902d0a2a88a29ba075bf4" ns2:_="" ns3:_="">
    <xsd:import namespace="67D70AC3-B026-4024-B8BB-FD80587200AD"/>
    <xsd:import namespace="f68474fa-a43b-49c6-9efc-3b4b1c12bd89"/>
    <xsd:element name="properties">
      <xsd:complexType>
        <xsd:sequence>
          <xsd:element name="documentManagement">
            <xsd:complexType>
              <xsd:all>
                <xsd:element ref="ns2:Dokument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70AC3-B026-4024-B8BB-FD80587200AD" elementFormDefault="qualified">
    <xsd:import namespace="http://schemas.microsoft.com/office/2006/documentManagement/types"/>
    <xsd:import namespace="http://schemas.microsoft.com/office/infopath/2007/PartnerControls"/>
    <xsd:element name="Dokumenttype" ma:index="8" nillable="true" ma:displayName="Dokumenttype" ma:default="Kilder" ma:format="Dropdown" ma:internalName="Dokumenttype">
      <xsd:simpleType>
        <xsd:restriction base="dms:Choice">
          <xsd:enumeration value="Kilder"/>
          <xsd:enumeration value="Notater"/>
          <xsd:enumeration value="Rapportutkast"/>
        </xsd:restriction>
      </xsd:simpleType>
    </xsd:element>
  </xsd:schema>
  <xsd:schema xmlns:xsd="http://www.w3.org/2001/XMLSchema" xmlns:xs="http://www.w3.org/2001/XMLSchema" xmlns:dms="http://schemas.microsoft.com/office/2006/documentManagement/types" xmlns:pc="http://schemas.microsoft.com/office/infopath/2007/PartnerControls" targetNamespace="f68474fa-a43b-49c6-9efc-3b4b1c12bd89" elementFormDefault="qualified">
    <xsd:import namespace="http://schemas.microsoft.com/office/2006/documentManagement/types"/>
    <xsd:import namespace="http://schemas.microsoft.com/office/infopath/2007/PartnerControls"/>
    <xsd:element name="SharedWithUsers" ma:index="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064C9-5A02-418B-A711-1EF956A4FEF4}">
  <ds:schemaRefs>
    <ds:schemaRef ds:uri="67D70AC3-B026-4024-B8BB-FD80587200AD"/>
    <ds:schemaRef ds:uri="f68474fa-a43b-49c6-9efc-3b4b1c12bd8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5647BBA-DE5B-419C-AFA1-AF3347EE0695}">
  <ds:schemaRefs>
    <ds:schemaRef ds:uri="http://schemas.openxmlformats.org/officeDocument/2006/bibliography"/>
  </ds:schemaRefs>
</ds:datastoreItem>
</file>

<file path=customXml/itemProps3.xml><?xml version="1.0" encoding="utf-8"?>
<ds:datastoreItem xmlns:ds="http://schemas.openxmlformats.org/officeDocument/2006/customXml" ds:itemID="{064C46D2-FD6C-44B1-8AC4-3F7F625C4076}">
  <ds:schemaRefs>
    <ds:schemaRef ds:uri="http://schemas.microsoft.com/sharepoint/v3/contenttype/forms"/>
  </ds:schemaRefs>
</ds:datastoreItem>
</file>

<file path=customXml/itemProps4.xml><?xml version="1.0" encoding="utf-8"?>
<ds:datastoreItem xmlns:ds="http://schemas.openxmlformats.org/officeDocument/2006/customXml" ds:itemID="{C914AC0E-EFE5-41E6-AA70-F6A57B756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70AC3-B026-4024-B8BB-FD80587200AD"/>
    <ds:schemaRef ds:uri="f68474fa-a43b-49c6-9efc-3b4b1c12b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2373</Words>
  <Characters>12579</Characters>
  <Application>Microsoft Office Word</Application>
  <DocSecurity>0</DocSecurity>
  <Lines>104</Lines>
  <Paragraphs>29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Dahl Schlanbusch</dc:creator>
  <cp:keywords/>
  <dc:description/>
  <cp:lastModifiedBy>Jonina Hermannsdottir</cp:lastModifiedBy>
  <cp:revision>2</cp:revision>
  <dcterms:created xsi:type="dcterms:W3CDTF">2022-05-25T10:49:00Z</dcterms:created>
  <dcterms:modified xsi:type="dcterms:W3CDTF">2022-05-25T10:49:00Z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0x010100984738DDDAA5024EB11103C7443CB1EC</vt:lpwstr>
  </property>
</Properties>
</file>